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7403" w:rsidRPr="00781D39" w:rsidRDefault="00DC42D9" w:rsidP="00781D39">
      <w:pPr>
        <w:jc w:val="both"/>
        <w:rPr>
          <w:rFonts w:ascii="Arial" w:eastAsia="Arial" w:hAnsi="Arial" w:cs="Arial"/>
          <w:b/>
          <w:color w:val="2A2A2A"/>
          <w:sz w:val="28"/>
          <w:szCs w:val="28"/>
          <w:highlight w:val="white"/>
        </w:rPr>
      </w:pPr>
      <w:r w:rsidRPr="00781D39">
        <w:rPr>
          <w:rFonts w:ascii="Arial" w:eastAsia="Arial" w:hAnsi="Arial" w:cs="Arial"/>
          <w:b/>
          <w:color w:val="2A2A2A"/>
          <w:sz w:val="28"/>
          <w:szCs w:val="28"/>
          <w:highlight w:val="white"/>
        </w:rPr>
        <w:t>OUTLINE</w:t>
      </w:r>
    </w:p>
    <w:p w:rsidR="00087403" w:rsidRPr="00781D39" w:rsidRDefault="00DC42D9" w:rsidP="00781D39">
      <w:pPr>
        <w:jc w:val="both"/>
        <w:rPr>
          <w:rFonts w:ascii="Arial" w:eastAsia="Arial" w:hAnsi="Arial" w:cs="Arial"/>
          <w:b/>
          <w:color w:val="2A2A2A"/>
          <w:sz w:val="28"/>
          <w:szCs w:val="28"/>
          <w:highlight w:val="white"/>
        </w:rPr>
      </w:pPr>
      <w:r w:rsidRPr="00781D39">
        <w:rPr>
          <w:rFonts w:ascii="Arial" w:eastAsia="Arial" w:hAnsi="Arial" w:cs="Arial"/>
          <w:b/>
          <w:color w:val="2A2A2A"/>
          <w:sz w:val="28"/>
          <w:szCs w:val="28"/>
          <w:highlight w:val="white"/>
        </w:rPr>
        <w:t>A response to:</w:t>
      </w:r>
    </w:p>
    <w:p w:rsidR="00087403" w:rsidRDefault="004D479F" w:rsidP="00781D39">
      <w:pPr>
        <w:numPr>
          <w:ilvl w:val="0"/>
          <w:numId w:val="1"/>
        </w:numPr>
        <w:contextualSpacing/>
        <w:jc w:val="both"/>
        <w:rPr>
          <w:rFonts w:ascii="Arial" w:eastAsia="Arial" w:hAnsi="Arial" w:cs="Arial"/>
          <w:b/>
          <w:color w:val="2A2A2A"/>
          <w:sz w:val="28"/>
          <w:szCs w:val="28"/>
          <w:highlight w:val="white"/>
        </w:rPr>
      </w:pPr>
      <w:proofErr w:type="spellStart"/>
      <w:r>
        <w:rPr>
          <w:rFonts w:ascii="Arial" w:eastAsia="Arial" w:hAnsi="Arial" w:cs="Arial"/>
          <w:b/>
          <w:color w:val="2A2A2A"/>
          <w:sz w:val="28"/>
          <w:szCs w:val="28"/>
          <w:highlight w:val="white"/>
        </w:rPr>
        <w:t>Swart’s</w:t>
      </w:r>
      <w:proofErr w:type="spellEnd"/>
      <w:r>
        <w:rPr>
          <w:rFonts w:ascii="Arial" w:eastAsia="Arial" w:hAnsi="Arial" w:cs="Arial"/>
          <w:b/>
          <w:color w:val="2A2A2A"/>
          <w:sz w:val="28"/>
          <w:szCs w:val="28"/>
          <w:highlight w:val="white"/>
        </w:rPr>
        <w:t xml:space="preserve"> :</w:t>
      </w:r>
      <w:r w:rsidR="00DC42D9" w:rsidRPr="00781D39">
        <w:rPr>
          <w:rFonts w:ascii="Arial" w:eastAsia="Arial" w:hAnsi="Arial" w:cs="Arial"/>
          <w:b/>
          <w:color w:val="2A2A2A"/>
          <w:sz w:val="28"/>
          <w:szCs w:val="28"/>
          <w:highlight w:val="white"/>
        </w:rPr>
        <w:t>“Al Bashir and the great unsaid: the non-resolution of the norm conflict and jus cogens”</w:t>
      </w:r>
    </w:p>
    <w:p w:rsidR="008F0315" w:rsidRPr="00781D39" w:rsidRDefault="008F0315" w:rsidP="008F0315">
      <w:pPr>
        <w:ind w:left="720"/>
        <w:contextualSpacing/>
        <w:jc w:val="both"/>
        <w:rPr>
          <w:rFonts w:ascii="Arial" w:eastAsia="Arial" w:hAnsi="Arial" w:cs="Arial"/>
          <w:b/>
          <w:color w:val="2A2A2A"/>
          <w:sz w:val="28"/>
          <w:szCs w:val="28"/>
          <w:highlight w:val="white"/>
        </w:rPr>
      </w:pPr>
    </w:p>
    <w:p w:rsidR="00087403" w:rsidRPr="00781D39" w:rsidRDefault="00DC42D9" w:rsidP="00781D39">
      <w:pPr>
        <w:jc w:val="both"/>
        <w:rPr>
          <w:rFonts w:ascii="Arial" w:eastAsia="Arial" w:hAnsi="Arial" w:cs="Arial"/>
          <w:color w:val="2A2A2A"/>
          <w:sz w:val="28"/>
          <w:szCs w:val="28"/>
          <w:highlight w:val="white"/>
        </w:rPr>
      </w:pPr>
      <w:r w:rsidRPr="00781D39">
        <w:rPr>
          <w:rFonts w:ascii="Arial" w:eastAsia="Arial" w:hAnsi="Arial" w:cs="Arial"/>
          <w:color w:val="2A2A2A"/>
          <w:sz w:val="28"/>
          <w:szCs w:val="28"/>
          <w:highlight w:val="white"/>
        </w:rPr>
        <w:t>South Africa’s Bashir saga had wide ranging legal and political implications. It tested the government’s adherence to the  rule of law in South Africa, the separation of powers doctrine and most importantly international criminal law’s place in the Republi</w:t>
      </w:r>
      <w:r w:rsidRPr="00781D39">
        <w:rPr>
          <w:rFonts w:ascii="Arial" w:eastAsia="Arial" w:hAnsi="Arial" w:cs="Arial"/>
          <w:color w:val="2A2A2A"/>
          <w:sz w:val="28"/>
          <w:szCs w:val="28"/>
          <w:highlight w:val="white"/>
        </w:rPr>
        <w:t xml:space="preserve">c. </w:t>
      </w:r>
      <w:proofErr w:type="spellStart"/>
      <w:r w:rsidRPr="00781D39">
        <w:rPr>
          <w:rFonts w:ascii="Arial" w:eastAsia="Arial" w:hAnsi="Arial" w:cs="Arial"/>
          <w:color w:val="2A2A2A"/>
          <w:sz w:val="28"/>
          <w:szCs w:val="28"/>
          <w:highlight w:val="white"/>
        </w:rPr>
        <w:t>Swart</w:t>
      </w:r>
      <w:proofErr w:type="spellEnd"/>
      <w:r w:rsidRPr="00781D39">
        <w:rPr>
          <w:rFonts w:ascii="Arial" w:eastAsia="Arial" w:hAnsi="Arial" w:cs="Arial"/>
          <w:color w:val="2A2A2A"/>
          <w:sz w:val="28"/>
          <w:szCs w:val="28"/>
          <w:highlight w:val="white"/>
        </w:rPr>
        <w:t xml:space="preserve"> indicates that the jus cogens was not, in this instance, given its due regard by the Supreme Court of Appeal (SCA) nor has it ever, in her opinion been given due regard by the South African courts including the Constitutional Court.</w:t>
      </w:r>
      <w:r w:rsidR="008F0315">
        <w:rPr>
          <w:rStyle w:val="FootnoteReference"/>
          <w:rFonts w:ascii="Arial" w:eastAsia="Arial" w:hAnsi="Arial" w:cs="Arial"/>
          <w:color w:val="2A2A2A"/>
          <w:sz w:val="28"/>
          <w:szCs w:val="28"/>
          <w:highlight w:val="white"/>
        </w:rPr>
        <w:footnoteReference w:id="1"/>
      </w:r>
      <w:r w:rsidRPr="00781D39">
        <w:rPr>
          <w:rFonts w:ascii="Arial" w:eastAsia="Arial" w:hAnsi="Arial" w:cs="Arial"/>
          <w:color w:val="2A2A2A"/>
          <w:sz w:val="28"/>
          <w:szCs w:val="28"/>
          <w:highlight w:val="white"/>
        </w:rPr>
        <w:t xml:space="preserve"> </w:t>
      </w:r>
      <w:r w:rsidR="00F51C07">
        <w:rPr>
          <w:rFonts w:ascii="Arial" w:eastAsia="Arial" w:hAnsi="Arial" w:cs="Arial"/>
          <w:color w:val="2A2A2A"/>
          <w:sz w:val="28"/>
          <w:szCs w:val="28"/>
          <w:highlight w:val="white"/>
        </w:rPr>
        <w:t>From the onset it is important to state that the author is in full agreement with SCA’s order, in particular that the failure to arrest Bashir was inconsistent with South Africa’s obligations in terms of the Rome Statute and the Implementation  of the Rome Statute Act, and therefore unlawful.</w:t>
      </w:r>
      <w:r w:rsidR="00F51C07">
        <w:rPr>
          <w:rFonts w:ascii="Arial" w:eastAsia="Arial" w:hAnsi="Arial" w:cs="Arial"/>
          <w:color w:val="2A2A2A"/>
          <w:sz w:val="28"/>
          <w:szCs w:val="28"/>
          <w:highlight w:val="white"/>
        </w:rPr>
        <w:t xml:space="preserve"> However, there is room for further exploration of the international criminal law.</w:t>
      </w:r>
    </w:p>
    <w:p w:rsidR="00087403" w:rsidRPr="00781D39" w:rsidRDefault="00F51C07" w:rsidP="00781D39">
      <w:pPr>
        <w:jc w:val="both"/>
        <w:rPr>
          <w:rFonts w:ascii="Arial" w:eastAsia="Arial" w:hAnsi="Arial" w:cs="Arial"/>
          <w:color w:val="2A2A2A"/>
          <w:sz w:val="28"/>
          <w:szCs w:val="28"/>
          <w:highlight w:val="white"/>
        </w:rPr>
      </w:pPr>
      <w:r>
        <w:rPr>
          <w:rFonts w:ascii="Arial" w:eastAsia="Arial" w:hAnsi="Arial" w:cs="Arial"/>
          <w:color w:val="2A2A2A"/>
          <w:sz w:val="28"/>
          <w:szCs w:val="28"/>
          <w:highlight w:val="white"/>
        </w:rPr>
        <w:t>Whilst t</w:t>
      </w:r>
      <w:r w:rsidR="00DC42D9" w:rsidRPr="00781D39">
        <w:rPr>
          <w:rFonts w:ascii="Arial" w:eastAsia="Arial" w:hAnsi="Arial" w:cs="Arial"/>
          <w:color w:val="2A2A2A"/>
          <w:sz w:val="28"/>
          <w:szCs w:val="28"/>
          <w:highlight w:val="white"/>
        </w:rPr>
        <w:t>he au</w:t>
      </w:r>
      <w:r w:rsidR="00DC42D9" w:rsidRPr="00781D39">
        <w:rPr>
          <w:rFonts w:ascii="Arial" w:eastAsia="Arial" w:hAnsi="Arial" w:cs="Arial"/>
          <w:color w:val="2A2A2A"/>
          <w:sz w:val="28"/>
          <w:szCs w:val="28"/>
          <w:highlight w:val="white"/>
        </w:rPr>
        <w:t>thor</w:t>
      </w:r>
      <w:r w:rsidR="00DC42D9" w:rsidRPr="00781D39">
        <w:rPr>
          <w:rFonts w:ascii="Arial" w:eastAsia="Arial" w:hAnsi="Arial" w:cs="Arial"/>
          <w:color w:val="2A2A2A"/>
          <w:sz w:val="28"/>
          <w:szCs w:val="28"/>
          <w:highlight w:val="white"/>
        </w:rPr>
        <w:t xml:space="preserve"> does not necessarily disagree with </w:t>
      </w:r>
      <w:proofErr w:type="spellStart"/>
      <w:r w:rsidR="00DC42D9" w:rsidRPr="00781D39">
        <w:rPr>
          <w:rFonts w:ascii="Arial" w:eastAsia="Arial" w:hAnsi="Arial" w:cs="Arial"/>
          <w:color w:val="2A2A2A"/>
          <w:sz w:val="28"/>
          <w:szCs w:val="28"/>
          <w:highlight w:val="white"/>
        </w:rPr>
        <w:t>Swart’s</w:t>
      </w:r>
      <w:proofErr w:type="spellEnd"/>
      <w:r w:rsidR="00DC42D9" w:rsidRPr="00781D39">
        <w:rPr>
          <w:rFonts w:ascii="Arial" w:eastAsia="Arial" w:hAnsi="Arial" w:cs="Arial"/>
          <w:color w:val="2A2A2A"/>
          <w:sz w:val="28"/>
          <w:szCs w:val="28"/>
          <w:highlight w:val="white"/>
        </w:rPr>
        <w:t xml:space="preserve"> assertions, the focus of this responding paper will be twofold. Firstl</w:t>
      </w:r>
      <w:r w:rsidR="00C66B8B">
        <w:rPr>
          <w:rFonts w:ascii="Arial" w:eastAsia="Arial" w:hAnsi="Arial" w:cs="Arial"/>
          <w:color w:val="2A2A2A"/>
          <w:sz w:val="28"/>
          <w:szCs w:val="28"/>
          <w:highlight w:val="white"/>
        </w:rPr>
        <w:t xml:space="preserve">y, it will posit understanding </w:t>
      </w:r>
      <w:r w:rsidR="00DC42D9" w:rsidRPr="00781D39">
        <w:rPr>
          <w:rFonts w:ascii="Arial" w:eastAsia="Arial" w:hAnsi="Arial" w:cs="Arial"/>
          <w:color w:val="2A2A2A"/>
          <w:sz w:val="28"/>
          <w:szCs w:val="28"/>
          <w:highlight w:val="white"/>
        </w:rPr>
        <w:t>domestic legislation (in particular the Implementation Act) as a manifestation</w:t>
      </w:r>
      <w:r w:rsidR="00DC42D9" w:rsidRPr="00781D39">
        <w:rPr>
          <w:rFonts w:ascii="Arial" w:eastAsia="Arial" w:hAnsi="Arial" w:cs="Arial"/>
          <w:color w:val="2A2A2A"/>
          <w:sz w:val="28"/>
          <w:szCs w:val="28"/>
          <w:highlight w:val="white"/>
        </w:rPr>
        <w:t xml:space="preserve"> of the importance of jus co</w:t>
      </w:r>
      <w:r w:rsidR="00DC42D9" w:rsidRPr="00781D39">
        <w:rPr>
          <w:rFonts w:ascii="Arial" w:eastAsia="Arial" w:hAnsi="Arial" w:cs="Arial"/>
          <w:color w:val="2A2A2A"/>
          <w:sz w:val="28"/>
          <w:szCs w:val="28"/>
          <w:highlight w:val="white"/>
        </w:rPr>
        <w:t xml:space="preserve">gens. Without taking anything away from the value and importance of jus cogens, this paper will espouse what was aptly stated by </w:t>
      </w:r>
      <w:proofErr w:type="spellStart"/>
      <w:r w:rsidR="00DC42D9" w:rsidRPr="00781D39">
        <w:rPr>
          <w:rFonts w:ascii="Arial" w:eastAsia="Arial" w:hAnsi="Arial" w:cs="Arial"/>
          <w:color w:val="2A2A2A"/>
          <w:sz w:val="28"/>
          <w:szCs w:val="28"/>
          <w:highlight w:val="white"/>
        </w:rPr>
        <w:t>Bassiouni</w:t>
      </w:r>
      <w:proofErr w:type="spellEnd"/>
      <w:r w:rsidR="00DC42D9" w:rsidRPr="00781D39">
        <w:rPr>
          <w:rFonts w:ascii="Arial" w:eastAsia="Arial" w:hAnsi="Arial" w:cs="Arial"/>
          <w:color w:val="2A2A2A"/>
          <w:sz w:val="28"/>
          <w:szCs w:val="28"/>
          <w:highlight w:val="white"/>
        </w:rPr>
        <w:t>, “</w:t>
      </w:r>
      <w:r w:rsidR="00DC42D9" w:rsidRPr="00781D39">
        <w:rPr>
          <w:rFonts w:ascii="Arial" w:eastAsia="Arial" w:hAnsi="Arial" w:cs="Arial"/>
          <w:i/>
          <w:color w:val="2A2A2A"/>
          <w:sz w:val="28"/>
          <w:szCs w:val="28"/>
          <w:highlight w:val="white"/>
        </w:rPr>
        <w:t xml:space="preserve">jus cogens leaves open differences of values, philosophies, goals, and strategies of those who claim the existence </w:t>
      </w:r>
      <w:r w:rsidR="00DC42D9" w:rsidRPr="00781D39">
        <w:rPr>
          <w:rFonts w:ascii="Arial" w:eastAsia="Arial" w:hAnsi="Arial" w:cs="Arial"/>
          <w:i/>
          <w:color w:val="2A2A2A"/>
          <w:sz w:val="28"/>
          <w:szCs w:val="28"/>
          <w:highlight w:val="white"/>
        </w:rPr>
        <w:t>of the norm in a given situation and its applicability to a given legal issue. Thus, jus cogens poses two essential problems for ICL; one relates to legal certainty and the other to a norm’s conformity to the requirements of the principles of legality...th</w:t>
      </w:r>
      <w:r w:rsidR="00DC42D9" w:rsidRPr="00781D39">
        <w:rPr>
          <w:rFonts w:ascii="Arial" w:eastAsia="Arial" w:hAnsi="Arial" w:cs="Arial"/>
          <w:i/>
          <w:color w:val="2A2A2A"/>
          <w:sz w:val="28"/>
          <w:szCs w:val="28"/>
          <w:highlight w:val="white"/>
        </w:rPr>
        <w:t>us,</w:t>
      </w:r>
      <w:r w:rsidR="00DC42D9" w:rsidRPr="00781D39">
        <w:rPr>
          <w:rFonts w:ascii="Arial" w:eastAsia="Arial" w:hAnsi="Arial" w:cs="Arial"/>
          <w:i/>
          <w:color w:val="2A2A2A"/>
          <w:sz w:val="28"/>
          <w:szCs w:val="28"/>
          <w:highlight w:val="white"/>
          <w:u w:val="single"/>
        </w:rPr>
        <w:t xml:space="preserve"> the only practical solution is the codification of ICL</w:t>
      </w:r>
      <w:r w:rsidR="00DC42D9" w:rsidRPr="00781D39">
        <w:rPr>
          <w:rFonts w:ascii="Arial" w:eastAsia="Arial" w:hAnsi="Arial" w:cs="Arial"/>
          <w:color w:val="2A2A2A"/>
          <w:sz w:val="28"/>
          <w:szCs w:val="28"/>
          <w:highlight w:val="white"/>
        </w:rPr>
        <w:t>”</w:t>
      </w:r>
      <w:r w:rsidR="00DC42D9" w:rsidRPr="00781D39">
        <w:rPr>
          <w:rFonts w:ascii="Arial" w:eastAsia="Arial" w:hAnsi="Arial" w:cs="Arial"/>
          <w:color w:val="2A2A2A"/>
          <w:sz w:val="28"/>
          <w:szCs w:val="28"/>
          <w:highlight w:val="white"/>
          <w:vertAlign w:val="superscript"/>
        </w:rPr>
        <w:footnoteReference w:id="2"/>
      </w:r>
    </w:p>
    <w:p w:rsidR="00087403" w:rsidRPr="00781D39" w:rsidRDefault="00DC42D9" w:rsidP="00781D39">
      <w:pPr>
        <w:jc w:val="both"/>
        <w:rPr>
          <w:rFonts w:ascii="Arial" w:eastAsia="Arial" w:hAnsi="Arial" w:cs="Arial"/>
          <w:color w:val="2A2A2A"/>
          <w:sz w:val="28"/>
          <w:szCs w:val="28"/>
          <w:highlight w:val="white"/>
        </w:rPr>
      </w:pPr>
      <w:r w:rsidRPr="00781D39">
        <w:rPr>
          <w:rFonts w:ascii="Arial" w:eastAsia="Arial" w:hAnsi="Arial" w:cs="Arial"/>
          <w:color w:val="2A2A2A"/>
          <w:sz w:val="28"/>
          <w:szCs w:val="28"/>
          <w:highlight w:val="white"/>
        </w:rPr>
        <w:t>Therefore</w:t>
      </w:r>
      <w:r w:rsidR="008F0315">
        <w:rPr>
          <w:rFonts w:ascii="Arial" w:eastAsia="Arial" w:hAnsi="Arial" w:cs="Arial"/>
          <w:color w:val="2A2A2A"/>
          <w:sz w:val="28"/>
          <w:szCs w:val="28"/>
          <w:highlight w:val="white"/>
        </w:rPr>
        <w:t>,</w:t>
      </w:r>
      <w:r w:rsidRPr="00781D39">
        <w:rPr>
          <w:rFonts w:ascii="Arial" w:eastAsia="Arial" w:hAnsi="Arial" w:cs="Arial"/>
          <w:color w:val="2A2A2A"/>
          <w:sz w:val="28"/>
          <w:szCs w:val="28"/>
          <w:highlight w:val="white"/>
        </w:rPr>
        <w:t xml:space="preserve"> this paper argues that the SCA was correct in relying on the Implementation Act, understanding it to, in terms of domestic law, give due credence to the wrongs jus cogens norms seek to </w:t>
      </w:r>
      <w:r w:rsidRPr="00781D39">
        <w:rPr>
          <w:rFonts w:ascii="Arial" w:eastAsia="Arial" w:hAnsi="Arial" w:cs="Arial"/>
          <w:color w:val="2A2A2A"/>
          <w:sz w:val="28"/>
          <w:szCs w:val="28"/>
          <w:highlight w:val="white"/>
        </w:rPr>
        <w:t xml:space="preserve">right.  Presumably, the Constitutional Court may have done the same given its previous handling of international criminal law matters, in particular the case of the </w:t>
      </w:r>
      <w:r w:rsidRPr="00781D39">
        <w:rPr>
          <w:rFonts w:ascii="Arial" w:eastAsia="Arial" w:hAnsi="Arial" w:cs="Arial"/>
          <w:i/>
          <w:color w:val="2A2A2A"/>
          <w:sz w:val="28"/>
          <w:szCs w:val="28"/>
          <w:highlight w:val="white"/>
        </w:rPr>
        <w:t>National Director of Public Prosecutions and others vs the Southern Africa Litigation Centr</w:t>
      </w:r>
      <w:r w:rsidRPr="00781D39">
        <w:rPr>
          <w:rFonts w:ascii="Arial" w:eastAsia="Arial" w:hAnsi="Arial" w:cs="Arial"/>
          <w:i/>
          <w:color w:val="2A2A2A"/>
          <w:sz w:val="28"/>
          <w:szCs w:val="28"/>
          <w:highlight w:val="white"/>
        </w:rPr>
        <w:t>e and Another</w:t>
      </w:r>
      <w:r w:rsidRPr="00781D39">
        <w:rPr>
          <w:rFonts w:ascii="Arial" w:eastAsia="Arial" w:hAnsi="Arial" w:cs="Arial"/>
          <w:color w:val="2A2A2A"/>
          <w:sz w:val="28"/>
          <w:szCs w:val="28"/>
          <w:highlight w:val="white"/>
        </w:rPr>
        <w:t>, otherwise known as the Zimbabwe Torture Case.</w:t>
      </w:r>
    </w:p>
    <w:p w:rsidR="00087403" w:rsidRPr="00781D39" w:rsidRDefault="00DC42D9" w:rsidP="00781D39">
      <w:pPr>
        <w:jc w:val="both"/>
        <w:rPr>
          <w:rFonts w:ascii="Arial" w:eastAsia="Arial" w:hAnsi="Arial" w:cs="Arial"/>
          <w:color w:val="2A2A2A"/>
          <w:sz w:val="28"/>
          <w:szCs w:val="28"/>
          <w:highlight w:val="white"/>
        </w:rPr>
      </w:pPr>
      <w:r w:rsidRPr="00781D39">
        <w:rPr>
          <w:rFonts w:ascii="Arial" w:eastAsia="Arial" w:hAnsi="Arial" w:cs="Arial"/>
          <w:color w:val="2A2A2A"/>
          <w:sz w:val="28"/>
          <w:szCs w:val="28"/>
          <w:highlight w:val="white"/>
        </w:rPr>
        <w:t xml:space="preserve">Secondly, like </w:t>
      </w:r>
      <w:proofErr w:type="spellStart"/>
      <w:r w:rsidRPr="00781D39">
        <w:rPr>
          <w:rFonts w:ascii="Arial" w:eastAsia="Arial" w:hAnsi="Arial" w:cs="Arial"/>
          <w:color w:val="2A2A2A"/>
          <w:sz w:val="28"/>
          <w:szCs w:val="28"/>
          <w:highlight w:val="white"/>
        </w:rPr>
        <w:t>Swart</w:t>
      </w:r>
      <w:proofErr w:type="spellEnd"/>
      <w:r w:rsidRPr="00781D39">
        <w:rPr>
          <w:rFonts w:ascii="Arial" w:eastAsia="Arial" w:hAnsi="Arial" w:cs="Arial"/>
          <w:color w:val="2A2A2A"/>
          <w:sz w:val="28"/>
          <w:szCs w:val="28"/>
          <w:highlight w:val="white"/>
        </w:rPr>
        <w:t xml:space="preserve">, the author acknowledges that the SCA’s treatment of international criminal law could have been more comprehensive but </w:t>
      </w:r>
      <w:r w:rsidR="004D479F">
        <w:rPr>
          <w:rFonts w:ascii="Arial" w:eastAsia="Arial" w:hAnsi="Arial" w:cs="Arial"/>
          <w:color w:val="2A2A2A"/>
          <w:sz w:val="28"/>
          <w:szCs w:val="28"/>
          <w:highlight w:val="white"/>
        </w:rPr>
        <w:t xml:space="preserve">(in diverging from </w:t>
      </w:r>
      <w:proofErr w:type="spellStart"/>
      <w:r w:rsidR="004D479F">
        <w:rPr>
          <w:rFonts w:ascii="Arial" w:eastAsia="Arial" w:hAnsi="Arial" w:cs="Arial"/>
          <w:color w:val="2A2A2A"/>
          <w:sz w:val="28"/>
          <w:szCs w:val="28"/>
          <w:highlight w:val="white"/>
        </w:rPr>
        <w:t>Swart</w:t>
      </w:r>
      <w:proofErr w:type="spellEnd"/>
      <w:r w:rsidR="004D479F">
        <w:rPr>
          <w:rFonts w:ascii="Arial" w:eastAsia="Arial" w:hAnsi="Arial" w:cs="Arial"/>
          <w:color w:val="2A2A2A"/>
          <w:sz w:val="28"/>
          <w:szCs w:val="28"/>
          <w:highlight w:val="white"/>
        </w:rPr>
        <w:t>)</w:t>
      </w:r>
      <w:r w:rsidRPr="00781D39">
        <w:rPr>
          <w:rFonts w:ascii="Arial" w:eastAsia="Arial" w:hAnsi="Arial" w:cs="Arial"/>
          <w:color w:val="2A2A2A"/>
          <w:sz w:val="28"/>
          <w:szCs w:val="28"/>
          <w:highlight w:val="white"/>
        </w:rPr>
        <w:t xml:space="preserve">  only insofar as the SCA decli</w:t>
      </w:r>
      <w:r w:rsidRPr="00781D39">
        <w:rPr>
          <w:rFonts w:ascii="Arial" w:eastAsia="Arial" w:hAnsi="Arial" w:cs="Arial"/>
          <w:color w:val="2A2A2A"/>
          <w:sz w:val="28"/>
          <w:szCs w:val="28"/>
          <w:highlight w:val="white"/>
        </w:rPr>
        <w:t>ned to further explore the so called “state of flux”</w:t>
      </w:r>
      <w:r w:rsidRPr="00781D39">
        <w:rPr>
          <w:rFonts w:ascii="Arial" w:eastAsia="Arial" w:hAnsi="Arial" w:cs="Arial"/>
          <w:color w:val="2A2A2A"/>
          <w:sz w:val="28"/>
          <w:szCs w:val="28"/>
          <w:highlight w:val="white"/>
          <w:vertAlign w:val="superscript"/>
        </w:rPr>
        <w:footnoteReference w:id="3"/>
      </w:r>
      <w:r w:rsidRPr="00781D39">
        <w:rPr>
          <w:rFonts w:ascii="Arial" w:eastAsia="Arial" w:hAnsi="Arial" w:cs="Arial"/>
          <w:color w:val="2A2A2A"/>
          <w:sz w:val="28"/>
          <w:szCs w:val="28"/>
          <w:highlight w:val="white"/>
        </w:rPr>
        <w:t xml:space="preserve"> of  customary</w:t>
      </w:r>
      <w:r w:rsidR="00C103CD">
        <w:rPr>
          <w:rFonts w:ascii="Arial" w:eastAsia="Arial" w:hAnsi="Arial" w:cs="Arial"/>
          <w:color w:val="2A2A2A"/>
          <w:sz w:val="28"/>
          <w:szCs w:val="28"/>
          <w:highlight w:val="white"/>
        </w:rPr>
        <w:t xml:space="preserve"> international law immunities. </w:t>
      </w:r>
      <w:r w:rsidRPr="00781D39">
        <w:rPr>
          <w:rFonts w:ascii="Arial" w:eastAsia="Arial" w:hAnsi="Arial" w:cs="Arial"/>
          <w:color w:val="2A2A2A"/>
          <w:sz w:val="28"/>
          <w:szCs w:val="28"/>
          <w:highlight w:val="white"/>
        </w:rPr>
        <w:t>This includes exploring the Genocide Convention</w:t>
      </w:r>
      <w:r w:rsidR="00C66B8B">
        <w:rPr>
          <w:rFonts w:ascii="Arial" w:eastAsia="Arial" w:hAnsi="Arial" w:cs="Arial"/>
          <w:color w:val="2A2A2A"/>
          <w:sz w:val="28"/>
          <w:szCs w:val="28"/>
          <w:highlight w:val="white"/>
        </w:rPr>
        <w:t>, which the author will treat as another example of the codification of jus cogens</w:t>
      </w:r>
      <w:r w:rsidR="009B7E6B">
        <w:rPr>
          <w:rFonts w:ascii="Arial" w:eastAsia="Arial" w:hAnsi="Arial" w:cs="Arial"/>
          <w:color w:val="2A2A2A"/>
          <w:sz w:val="28"/>
          <w:szCs w:val="28"/>
          <w:highlight w:val="white"/>
        </w:rPr>
        <w:t>,</w:t>
      </w:r>
      <w:r w:rsidRPr="00781D39">
        <w:rPr>
          <w:rFonts w:ascii="Arial" w:eastAsia="Arial" w:hAnsi="Arial" w:cs="Arial"/>
          <w:color w:val="2A2A2A"/>
          <w:sz w:val="28"/>
          <w:szCs w:val="28"/>
          <w:highlight w:val="white"/>
        </w:rPr>
        <w:t xml:space="preserve"> and further addre</w:t>
      </w:r>
      <w:r w:rsidRPr="00781D39">
        <w:rPr>
          <w:rFonts w:ascii="Arial" w:eastAsia="Arial" w:hAnsi="Arial" w:cs="Arial"/>
          <w:color w:val="2A2A2A"/>
          <w:sz w:val="28"/>
          <w:szCs w:val="28"/>
          <w:highlight w:val="white"/>
        </w:rPr>
        <w:t xml:space="preserve">ssing the suggested evolution of customary international law immunities with regard to crimes that shock the conscience </w:t>
      </w:r>
      <w:r w:rsidR="009B7E6B">
        <w:rPr>
          <w:rFonts w:ascii="Arial" w:eastAsia="Arial" w:hAnsi="Arial" w:cs="Arial"/>
          <w:color w:val="2A2A2A"/>
          <w:sz w:val="28"/>
          <w:szCs w:val="28"/>
          <w:highlight w:val="white"/>
        </w:rPr>
        <w:t>of humanity as presented by SALC</w:t>
      </w:r>
      <w:r w:rsidRPr="00781D39">
        <w:rPr>
          <w:rFonts w:ascii="Arial" w:eastAsia="Arial" w:hAnsi="Arial" w:cs="Arial"/>
          <w:color w:val="2A2A2A"/>
          <w:sz w:val="28"/>
          <w:szCs w:val="28"/>
          <w:highlight w:val="white"/>
        </w:rPr>
        <w:t xml:space="preserve"> (a team which included the author) before the SCA.</w:t>
      </w:r>
    </w:p>
    <w:p w:rsidR="00087403" w:rsidRPr="00781D39" w:rsidRDefault="00DC42D9" w:rsidP="00781D39">
      <w:pPr>
        <w:jc w:val="both"/>
        <w:rPr>
          <w:rFonts w:ascii="Arial" w:eastAsia="Arial" w:hAnsi="Arial" w:cs="Arial"/>
          <w:color w:val="2A2A2A"/>
          <w:sz w:val="28"/>
          <w:szCs w:val="28"/>
          <w:highlight w:val="white"/>
        </w:rPr>
      </w:pPr>
      <w:r w:rsidRPr="00781D39">
        <w:rPr>
          <w:rFonts w:ascii="Arial" w:eastAsia="Arial" w:hAnsi="Arial" w:cs="Arial"/>
          <w:color w:val="2A2A2A"/>
          <w:sz w:val="28"/>
          <w:szCs w:val="28"/>
          <w:highlight w:val="white"/>
        </w:rPr>
        <w:t xml:space="preserve">It is clear that Wallis, JA purposefully </w:t>
      </w:r>
      <w:r w:rsidRPr="00781D39">
        <w:rPr>
          <w:rFonts w:ascii="Arial" w:eastAsia="Arial" w:hAnsi="Arial" w:cs="Arial"/>
          <w:color w:val="2A2A2A"/>
          <w:sz w:val="28"/>
          <w:szCs w:val="28"/>
          <w:highlight w:val="white"/>
        </w:rPr>
        <w:t>narrowed down the judgment and he clearly stated that he meant “no disrespect to the efforts of counsel to provide us with a comprehensive body of authority dealing with the issue of immunity in relations to persons charged with international crimes in not</w:t>
      </w:r>
      <w:r w:rsidRPr="00781D39">
        <w:rPr>
          <w:rFonts w:ascii="Arial" w:eastAsia="Arial" w:hAnsi="Arial" w:cs="Arial"/>
          <w:color w:val="2A2A2A"/>
          <w:sz w:val="28"/>
          <w:szCs w:val="28"/>
          <w:highlight w:val="white"/>
        </w:rPr>
        <w:t xml:space="preserve"> engaging in comprehensive consideration of the material placed before us”</w:t>
      </w:r>
      <w:r w:rsidRPr="00781D39">
        <w:rPr>
          <w:rFonts w:ascii="Arial" w:eastAsia="Arial" w:hAnsi="Arial" w:cs="Arial"/>
          <w:color w:val="2A2A2A"/>
          <w:sz w:val="28"/>
          <w:szCs w:val="28"/>
          <w:highlight w:val="white"/>
          <w:vertAlign w:val="superscript"/>
        </w:rPr>
        <w:footnoteReference w:id="4"/>
      </w:r>
      <w:r w:rsidR="00C103CD">
        <w:rPr>
          <w:rFonts w:ascii="Arial" w:eastAsia="Arial" w:hAnsi="Arial" w:cs="Arial"/>
          <w:color w:val="2A2A2A"/>
          <w:sz w:val="28"/>
          <w:szCs w:val="28"/>
          <w:highlight w:val="white"/>
        </w:rPr>
        <w:t xml:space="preserve"> He</w:t>
      </w:r>
      <w:r w:rsidRPr="00781D39">
        <w:rPr>
          <w:rFonts w:ascii="Arial" w:eastAsia="Arial" w:hAnsi="Arial" w:cs="Arial"/>
          <w:color w:val="2A2A2A"/>
          <w:sz w:val="28"/>
          <w:szCs w:val="28"/>
          <w:highlight w:val="white"/>
        </w:rPr>
        <w:t xml:space="preserve"> decided that “the content of customary international law</w:t>
      </w:r>
      <w:r w:rsidR="00566AEF">
        <w:rPr>
          <w:rFonts w:ascii="Arial" w:eastAsia="Arial" w:hAnsi="Arial" w:cs="Arial"/>
          <w:color w:val="2A2A2A"/>
          <w:sz w:val="28"/>
          <w:szCs w:val="28"/>
          <w:highlight w:val="white"/>
        </w:rPr>
        <w:t>” was</w:t>
      </w:r>
      <w:r w:rsidRPr="00781D39">
        <w:rPr>
          <w:rFonts w:ascii="Arial" w:eastAsia="Arial" w:hAnsi="Arial" w:cs="Arial"/>
          <w:color w:val="2A2A2A"/>
          <w:sz w:val="28"/>
          <w:szCs w:val="28"/>
          <w:highlight w:val="white"/>
        </w:rPr>
        <w:t xml:space="preserve"> </w:t>
      </w:r>
      <w:r w:rsidR="00566AEF">
        <w:rPr>
          <w:rFonts w:ascii="Arial" w:eastAsia="Arial" w:hAnsi="Arial" w:cs="Arial"/>
          <w:color w:val="2A2A2A"/>
          <w:sz w:val="28"/>
          <w:szCs w:val="28"/>
          <w:highlight w:val="white"/>
        </w:rPr>
        <w:t>not for him “</w:t>
      </w:r>
      <w:r w:rsidRPr="00781D39">
        <w:rPr>
          <w:rFonts w:ascii="Arial" w:eastAsia="Arial" w:hAnsi="Arial" w:cs="Arial"/>
          <w:color w:val="2A2A2A"/>
          <w:sz w:val="28"/>
          <w:szCs w:val="28"/>
          <w:highlight w:val="white"/>
        </w:rPr>
        <w:t>to determine, ”</w:t>
      </w:r>
      <w:r w:rsidRPr="00781D39">
        <w:rPr>
          <w:rFonts w:ascii="Arial" w:eastAsia="Arial" w:hAnsi="Arial" w:cs="Arial"/>
          <w:color w:val="2A2A2A"/>
          <w:sz w:val="28"/>
          <w:szCs w:val="28"/>
          <w:highlight w:val="white"/>
          <w:vertAlign w:val="superscript"/>
        </w:rPr>
        <w:footnoteReference w:id="5"/>
      </w:r>
      <w:r w:rsidRPr="00781D39">
        <w:rPr>
          <w:rFonts w:ascii="Arial" w:eastAsia="Arial" w:hAnsi="Arial" w:cs="Arial"/>
          <w:color w:val="2A2A2A"/>
          <w:sz w:val="28"/>
          <w:szCs w:val="28"/>
          <w:highlight w:val="white"/>
        </w:rPr>
        <w:t xml:space="preserve"> a position which is </w:t>
      </w:r>
      <w:r w:rsidR="00C103CD">
        <w:rPr>
          <w:rFonts w:ascii="Arial" w:eastAsia="Arial" w:hAnsi="Arial" w:cs="Arial"/>
          <w:color w:val="2A2A2A"/>
          <w:sz w:val="28"/>
          <w:szCs w:val="28"/>
          <w:highlight w:val="white"/>
        </w:rPr>
        <w:t>understandable</w:t>
      </w:r>
      <w:r w:rsidRPr="00781D39">
        <w:rPr>
          <w:rFonts w:ascii="Arial" w:eastAsia="Arial" w:hAnsi="Arial" w:cs="Arial"/>
          <w:color w:val="2A2A2A"/>
          <w:sz w:val="28"/>
          <w:szCs w:val="28"/>
          <w:highlight w:val="white"/>
        </w:rPr>
        <w:t xml:space="preserve"> but therein lies the allure of </w:t>
      </w:r>
      <w:r w:rsidR="004D479F">
        <w:rPr>
          <w:rFonts w:ascii="Arial" w:eastAsia="Arial" w:hAnsi="Arial" w:cs="Arial"/>
          <w:color w:val="2A2A2A"/>
          <w:sz w:val="28"/>
          <w:szCs w:val="28"/>
          <w:highlight w:val="white"/>
        </w:rPr>
        <w:t>exploring</w:t>
      </w:r>
      <w:r w:rsidR="00566AEF">
        <w:rPr>
          <w:rFonts w:ascii="Arial" w:eastAsia="Arial" w:hAnsi="Arial" w:cs="Arial"/>
          <w:color w:val="2A2A2A"/>
          <w:sz w:val="28"/>
          <w:szCs w:val="28"/>
          <w:highlight w:val="white"/>
        </w:rPr>
        <w:t xml:space="preserve"> how international criminal</w:t>
      </w:r>
      <w:r w:rsidR="004D479F">
        <w:rPr>
          <w:rFonts w:ascii="Arial" w:eastAsia="Arial" w:hAnsi="Arial" w:cs="Arial"/>
          <w:color w:val="2A2A2A"/>
          <w:sz w:val="28"/>
          <w:szCs w:val="28"/>
          <w:highlight w:val="white"/>
        </w:rPr>
        <w:t xml:space="preserve"> law could have been further explored.</w:t>
      </w:r>
    </w:p>
    <w:p w:rsidR="00087403" w:rsidRPr="00781D39" w:rsidRDefault="00087403" w:rsidP="00781D39">
      <w:pPr>
        <w:jc w:val="both"/>
        <w:rPr>
          <w:rFonts w:ascii="Arial" w:eastAsia="Arial" w:hAnsi="Arial" w:cs="Arial"/>
          <w:color w:val="2A2A2A"/>
          <w:sz w:val="28"/>
          <w:szCs w:val="28"/>
          <w:highlight w:val="white"/>
        </w:rPr>
      </w:pPr>
    </w:p>
    <w:p w:rsidR="00087403" w:rsidRPr="00781D39" w:rsidRDefault="00087403" w:rsidP="00781D39">
      <w:pPr>
        <w:jc w:val="both"/>
        <w:rPr>
          <w:rFonts w:ascii="Arial" w:eastAsia="Arial" w:hAnsi="Arial" w:cs="Arial"/>
          <w:color w:val="2A2A2A"/>
          <w:sz w:val="28"/>
          <w:szCs w:val="28"/>
          <w:highlight w:val="white"/>
        </w:rPr>
      </w:pPr>
    </w:p>
    <w:p w:rsidR="00087403" w:rsidRPr="00781D39" w:rsidRDefault="00087403" w:rsidP="00781D39">
      <w:pPr>
        <w:jc w:val="both"/>
        <w:rPr>
          <w:rFonts w:ascii="Arial" w:eastAsia="Arial" w:hAnsi="Arial" w:cs="Arial"/>
          <w:color w:val="2A2A2A"/>
          <w:sz w:val="28"/>
          <w:szCs w:val="28"/>
          <w:highlight w:val="white"/>
        </w:rPr>
      </w:pPr>
    </w:p>
    <w:p w:rsidR="00087403" w:rsidRPr="00781D39" w:rsidRDefault="00087403" w:rsidP="00781D39">
      <w:pPr>
        <w:jc w:val="both"/>
        <w:rPr>
          <w:rFonts w:ascii="Arial" w:eastAsia="Arial" w:hAnsi="Arial" w:cs="Arial"/>
          <w:color w:val="2A2A2A"/>
          <w:sz w:val="28"/>
          <w:szCs w:val="28"/>
          <w:highlight w:val="white"/>
        </w:rPr>
      </w:pPr>
    </w:p>
    <w:p w:rsidR="00087403" w:rsidRPr="00781D39" w:rsidRDefault="00087403" w:rsidP="00781D39">
      <w:pPr>
        <w:jc w:val="both"/>
        <w:rPr>
          <w:rFonts w:ascii="Arial" w:eastAsia="Arial" w:hAnsi="Arial" w:cs="Arial"/>
          <w:color w:val="2A2A2A"/>
          <w:sz w:val="28"/>
          <w:szCs w:val="28"/>
          <w:highlight w:val="white"/>
        </w:rPr>
      </w:pPr>
    </w:p>
    <w:p w:rsidR="00087403" w:rsidRPr="00781D39" w:rsidRDefault="00087403" w:rsidP="00781D39">
      <w:pPr>
        <w:jc w:val="both"/>
        <w:rPr>
          <w:rFonts w:ascii="Arial" w:eastAsia="Arial" w:hAnsi="Arial" w:cs="Arial"/>
          <w:color w:val="2A2A2A"/>
          <w:sz w:val="28"/>
          <w:szCs w:val="28"/>
          <w:highlight w:val="white"/>
        </w:rPr>
      </w:pPr>
    </w:p>
    <w:p w:rsidR="00087403" w:rsidRPr="00781D39" w:rsidRDefault="00087403" w:rsidP="00781D39">
      <w:pPr>
        <w:jc w:val="both"/>
        <w:rPr>
          <w:rFonts w:ascii="Arial" w:eastAsia="Arial" w:hAnsi="Arial" w:cs="Arial"/>
          <w:color w:val="2A2A2A"/>
          <w:sz w:val="28"/>
          <w:szCs w:val="28"/>
          <w:highlight w:val="white"/>
        </w:rPr>
      </w:pPr>
    </w:p>
    <w:p w:rsidR="00087403" w:rsidRPr="00781D39" w:rsidRDefault="00087403" w:rsidP="00781D39">
      <w:pPr>
        <w:jc w:val="both"/>
        <w:rPr>
          <w:sz w:val="28"/>
          <w:szCs w:val="28"/>
        </w:rPr>
      </w:pPr>
      <w:bookmarkStart w:id="0" w:name="_30j0zll" w:colFirst="0" w:colLast="0"/>
      <w:bookmarkEnd w:id="0"/>
    </w:p>
    <w:sectPr w:rsidR="00087403" w:rsidRPr="00781D39">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C42D9" w:rsidRDefault="00DC42D9">
      <w:pPr>
        <w:spacing w:after="0" w:line="240" w:lineRule="auto"/>
      </w:pPr>
      <w:r>
        <w:separator/>
      </w:r>
    </w:p>
  </w:endnote>
  <w:endnote w:type="continuationSeparator" w:id="0">
    <w:p w:rsidR="00DC42D9" w:rsidRDefault="00DC42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676115370"/>
      <w:docPartObj>
        <w:docPartGallery w:val="Page Numbers (Bottom of Page)"/>
        <w:docPartUnique/>
      </w:docPartObj>
    </w:sdtPr>
    <w:sdtContent>
      <w:p w:rsidR="008F0315" w:rsidRDefault="008F0315" w:rsidP="00E04B8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087403" w:rsidRDefault="00087403" w:rsidP="008F0315">
    <w:pPr>
      <w:pBdr>
        <w:top w:val="nil"/>
        <w:left w:val="nil"/>
        <w:bottom w:val="nil"/>
        <w:right w:val="nil"/>
        <w:between w:val="nil"/>
      </w:pBdr>
      <w:tabs>
        <w:tab w:val="center" w:pos="4513"/>
        <w:tab w:val="right" w:pos="9026"/>
      </w:tabs>
      <w:spacing w:after="0" w:line="240" w:lineRule="auto"/>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501967711"/>
      <w:docPartObj>
        <w:docPartGallery w:val="Page Numbers (Bottom of Page)"/>
        <w:docPartUnique/>
      </w:docPartObj>
    </w:sdtPr>
    <w:sdtContent>
      <w:p w:rsidR="008F0315" w:rsidRDefault="008F0315" w:rsidP="00E04B8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rsidR="00087403" w:rsidRDefault="00087403" w:rsidP="008F0315">
    <w:pPr>
      <w:pBdr>
        <w:top w:val="nil"/>
        <w:left w:val="nil"/>
        <w:bottom w:val="nil"/>
        <w:right w:val="nil"/>
        <w:between w:val="nil"/>
      </w:pBdr>
      <w:tabs>
        <w:tab w:val="center" w:pos="4513"/>
        <w:tab w:val="right" w:pos="9026"/>
      </w:tabs>
      <w:spacing w:after="0" w:line="240" w:lineRule="auto"/>
      <w:ind w:right="360"/>
      <w:jc w:val="right"/>
      <w:rPr>
        <w:color w:val="000000"/>
      </w:rPr>
    </w:pPr>
  </w:p>
  <w:p w:rsidR="00087403" w:rsidRDefault="00087403">
    <w:pPr>
      <w:pBdr>
        <w:top w:val="nil"/>
        <w:left w:val="nil"/>
        <w:bottom w:val="nil"/>
        <w:right w:val="nil"/>
        <w:between w:val="nil"/>
      </w:pBdr>
      <w:tabs>
        <w:tab w:val="center" w:pos="4513"/>
        <w:tab w:val="right" w:pos="9026"/>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7403" w:rsidRDefault="00087403">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C42D9" w:rsidRDefault="00DC42D9">
      <w:pPr>
        <w:spacing w:after="0" w:line="240" w:lineRule="auto"/>
      </w:pPr>
      <w:r>
        <w:separator/>
      </w:r>
    </w:p>
  </w:footnote>
  <w:footnote w:type="continuationSeparator" w:id="0">
    <w:p w:rsidR="00DC42D9" w:rsidRDefault="00DC42D9">
      <w:pPr>
        <w:spacing w:after="0" w:line="240" w:lineRule="auto"/>
      </w:pPr>
      <w:r>
        <w:continuationSeparator/>
      </w:r>
    </w:p>
  </w:footnote>
  <w:footnote w:id="1">
    <w:p w:rsidR="008F0315" w:rsidRPr="008F0315" w:rsidRDefault="008F0315">
      <w:pPr>
        <w:pStyle w:val="FootnoteText"/>
        <w:rPr>
          <w:lang w:val="en-GB"/>
        </w:rPr>
      </w:pPr>
      <w:r>
        <w:rPr>
          <w:rStyle w:val="FootnoteReference"/>
        </w:rPr>
        <w:footnoteRef/>
      </w:r>
      <w:r>
        <w:t xml:space="preserve"> </w:t>
      </w:r>
    </w:p>
  </w:footnote>
  <w:footnote w:id="2">
    <w:p w:rsidR="00087403" w:rsidRDefault="00DC42D9">
      <w:pPr>
        <w:spacing w:after="0" w:line="240" w:lineRule="auto"/>
        <w:rPr>
          <w:sz w:val="20"/>
          <w:szCs w:val="20"/>
        </w:rPr>
      </w:pPr>
      <w:r>
        <w:rPr>
          <w:vertAlign w:val="superscript"/>
        </w:rPr>
        <w:footnoteRef/>
      </w:r>
      <w:r>
        <w:rPr>
          <w:sz w:val="20"/>
          <w:szCs w:val="20"/>
        </w:rPr>
        <w:t xml:space="preserve">  </w:t>
      </w:r>
      <w:r>
        <w:rPr>
          <w:sz w:val="20"/>
          <w:szCs w:val="20"/>
        </w:rPr>
        <w:t xml:space="preserve">International Crimes: Jus Cogens and </w:t>
      </w:r>
      <w:proofErr w:type="spellStart"/>
      <w:r>
        <w:rPr>
          <w:sz w:val="20"/>
          <w:szCs w:val="20"/>
        </w:rPr>
        <w:t>Obligatio</w:t>
      </w:r>
      <w:proofErr w:type="spellEnd"/>
      <w:r>
        <w:rPr>
          <w:sz w:val="20"/>
          <w:szCs w:val="20"/>
        </w:rPr>
        <w:t xml:space="preserve"> </w:t>
      </w:r>
      <w:proofErr w:type="spellStart"/>
      <w:r>
        <w:rPr>
          <w:sz w:val="20"/>
          <w:szCs w:val="20"/>
        </w:rPr>
        <w:t>erga</w:t>
      </w:r>
      <w:proofErr w:type="spellEnd"/>
      <w:r>
        <w:rPr>
          <w:sz w:val="20"/>
          <w:szCs w:val="20"/>
        </w:rPr>
        <w:t xml:space="preserve"> </w:t>
      </w:r>
      <w:proofErr w:type="spellStart"/>
      <w:r>
        <w:rPr>
          <w:sz w:val="20"/>
          <w:szCs w:val="20"/>
        </w:rPr>
        <w:t>omnes</w:t>
      </w:r>
      <w:proofErr w:type="spellEnd"/>
      <w:r>
        <w:rPr>
          <w:sz w:val="20"/>
          <w:szCs w:val="20"/>
        </w:rPr>
        <w:t xml:space="preserve"> </w:t>
      </w:r>
      <w:proofErr w:type="spellStart"/>
      <w:r>
        <w:rPr>
          <w:sz w:val="20"/>
          <w:szCs w:val="20"/>
        </w:rPr>
        <w:t>Bassiouni</w:t>
      </w:r>
      <w:proofErr w:type="spellEnd"/>
      <w:r>
        <w:rPr>
          <w:sz w:val="20"/>
          <w:szCs w:val="20"/>
        </w:rPr>
        <w:t xml:space="preserve"> 1997 available at </w:t>
      </w:r>
      <w:hyperlink r:id="rId1">
        <w:r>
          <w:rPr>
            <w:color w:val="1155CC"/>
            <w:sz w:val="20"/>
            <w:szCs w:val="20"/>
            <w:u w:val="single"/>
          </w:rPr>
          <w:t>https://scholarship.law.duke.edu/cgi/viewcontent.cgi?article</w:t>
        </w:r>
        <w:r>
          <w:rPr>
            <w:color w:val="1155CC"/>
            <w:sz w:val="20"/>
            <w:szCs w:val="20"/>
            <w:u w:val="single"/>
          </w:rPr>
          <w:t>=1016&amp;context=lcp</w:t>
        </w:r>
      </w:hyperlink>
      <w:r>
        <w:rPr>
          <w:sz w:val="20"/>
          <w:szCs w:val="20"/>
        </w:rPr>
        <w:t xml:space="preserve">  pg.72</w:t>
      </w:r>
    </w:p>
  </w:footnote>
  <w:footnote w:id="3">
    <w:p w:rsidR="00087403" w:rsidRDefault="00DC42D9">
      <w:pPr>
        <w:spacing w:after="0" w:line="240" w:lineRule="auto"/>
        <w:rPr>
          <w:sz w:val="20"/>
          <w:szCs w:val="20"/>
        </w:rPr>
      </w:pPr>
      <w:r>
        <w:rPr>
          <w:vertAlign w:val="superscript"/>
        </w:rPr>
        <w:footnoteRef/>
      </w:r>
      <w:r>
        <w:rPr>
          <w:sz w:val="20"/>
          <w:szCs w:val="20"/>
        </w:rPr>
        <w:t xml:space="preserve"> </w:t>
      </w:r>
      <w:r>
        <w:rPr>
          <w:sz w:val="20"/>
          <w:szCs w:val="20"/>
        </w:rPr>
        <w:t xml:space="preserve">John </w:t>
      </w:r>
      <w:proofErr w:type="spellStart"/>
      <w:r>
        <w:rPr>
          <w:sz w:val="20"/>
          <w:szCs w:val="20"/>
        </w:rPr>
        <w:t>Dugard</w:t>
      </w:r>
      <w:proofErr w:type="spellEnd"/>
      <w:r>
        <w:rPr>
          <w:sz w:val="20"/>
          <w:szCs w:val="20"/>
        </w:rPr>
        <w:t xml:space="preserve"> International Law: A South African Perspective 4 </w:t>
      </w:r>
      <w:proofErr w:type="spellStart"/>
      <w:r>
        <w:rPr>
          <w:sz w:val="20"/>
          <w:szCs w:val="20"/>
        </w:rPr>
        <w:t>ed</w:t>
      </w:r>
      <w:proofErr w:type="spellEnd"/>
      <w:r>
        <w:rPr>
          <w:sz w:val="20"/>
          <w:szCs w:val="20"/>
        </w:rPr>
        <w:t xml:space="preserve"> (2011) pg.258.</w:t>
      </w:r>
    </w:p>
  </w:footnote>
  <w:footnote w:id="4">
    <w:p w:rsidR="00087403" w:rsidRDefault="00DC42D9">
      <w:pPr>
        <w:spacing w:after="0" w:line="240" w:lineRule="auto"/>
        <w:rPr>
          <w:sz w:val="20"/>
          <w:szCs w:val="20"/>
        </w:rPr>
      </w:pPr>
      <w:r>
        <w:rPr>
          <w:vertAlign w:val="superscript"/>
        </w:rPr>
        <w:footnoteRef/>
      </w:r>
      <w:r>
        <w:rPr>
          <w:sz w:val="20"/>
          <w:szCs w:val="20"/>
        </w:rPr>
        <w:t xml:space="preserve">  </w:t>
      </w:r>
      <w:r>
        <w:rPr>
          <w:sz w:val="20"/>
          <w:szCs w:val="20"/>
        </w:rPr>
        <w:t>SCA judgement para 69</w:t>
      </w:r>
    </w:p>
  </w:footnote>
  <w:footnote w:id="5">
    <w:p w:rsidR="00087403" w:rsidRDefault="00DC42D9">
      <w:pPr>
        <w:spacing w:after="0" w:line="240" w:lineRule="auto"/>
        <w:rPr>
          <w:sz w:val="20"/>
          <w:szCs w:val="20"/>
        </w:rPr>
      </w:pPr>
      <w:r>
        <w:rPr>
          <w:vertAlign w:val="superscript"/>
        </w:rPr>
        <w:footnoteRef/>
      </w:r>
      <w:r>
        <w:rPr>
          <w:sz w:val="20"/>
          <w:szCs w:val="20"/>
        </w:rPr>
        <w:t xml:space="preserve"> </w:t>
      </w:r>
      <w:r>
        <w:rPr>
          <w:sz w:val="20"/>
          <w:szCs w:val="20"/>
        </w:rPr>
        <w:t>SCA Judgement para 84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7403" w:rsidRDefault="00087403">
    <w:pPr>
      <w:pBdr>
        <w:top w:val="nil"/>
        <w:left w:val="nil"/>
        <w:bottom w:val="nil"/>
        <w:right w:val="nil"/>
        <w:between w:val="nil"/>
      </w:pBdr>
      <w:tabs>
        <w:tab w:val="center" w:pos="4513"/>
        <w:tab w:val="right" w:pos="9026"/>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7403" w:rsidRDefault="00087403">
    <w:pPr>
      <w:pBdr>
        <w:top w:val="nil"/>
        <w:left w:val="nil"/>
        <w:bottom w:val="nil"/>
        <w:right w:val="nil"/>
        <w:between w:val="nil"/>
      </w:pBdr>
      <w:tabs>
        <w:tab w:val="center" w:pos="4513"/>
        <w:tab w:val="right" w:pos="9026"/>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7403" w:rsidRDefault="00087403">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442A15"/>
    <w:multiLevelType w:val="multilevel"/>
    <w:tmpl w:val="5F1C19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087403"/>
    <w:rsid w:val="00087403"/>
    <w:rsid w:val="004D479F"/>
    <w:rsid w:val="00566AEF"/>
    <w:rsid w:val="00781D39"/>
    <w:rsid w:val="008F0315"/>
    <w:rsid w:val="009B7E6B"/>
    <w:rsid w:val="00C103CD"/>
    <w:rsid w:val="00C21555"/>
    <w:rsid w:val="00C66B8B"/>
    <w:rsid w:val="00CA6271"/>
    <w:rsid w:val="00DC42D9"/>
    <w:rsid w:val="00F51C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5A17C6"/>
  <w15:docId w15:val="{CDFE2013-34A8-3B45-BC84-24FCBEE1B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Z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Footer">
    <w:name w:val="footer"/>
    <w:basedOn w:val="Normal"/>
    <w:link w:val="FooterChar"/>
    <w:uiPriority w:val="99"/>
    <w:semiHidden/>
    <w:unhideWhenUsed/>
    <w:rsid w:val="008F0315"/>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8F0315"/>
  </w:style>
  <w:style w:type="character" w:styleId="PageNumber">
    <w:name w:val="page number"/>
    <w:basedOn w:val="DefaultParagraphFont"/>
    <w:uiPriority w:val="99"/>
    <w:semiHidden/>
    <w:unhideWhenUsed/>
    <w:rsid w:val="008F0315"/>
  </w:style>
  <w:style w:type="paragraph" w:styleId="FootnoteText">
    <w:name w:val="footnote text"/>
    <w:basedOn w:val="Normal"/>
    <w:link w:val="FootnoteTextChar"/>
    <w:uiPriority w:val="99"/>
    <w:semiHidden/>
    <w:unhideWhenUsed/>
    <w:rsid w:val="008F031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F0315"/>
    <w:rPr>
      <w:sz w:val="20"/>
      <w:szCs w:val="20"/>
    </w:rPr>
  </w:style>
  <w:style w:type="character" w:styleId="FootnoteReference">
    <w:name w:val="footnote reference"/>
    <w:basedOn w:val="DefaultParagraphFont"/>
    <w:uiPriority w:val="99"/>
    <w:semiHidden/>
    <w:unhideWhenUsed/>
    <w:rsid w:val="008F031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scholarship.law.duke.edu/cgi/viewcontent.cgi?article=1016&amp;context=lc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7B37C8-F58F-724A-AFDB-1C31E4CB73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539</Words>
  <Characters>3075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Angela Mudukuti</cp:lastModifiedBy>
  <cp:revision>10</cp:revision>
  <dcterms:created xsi:type="dcterms:W3CDTF">2018-07-27T12:49:00Z</dcterms:created>
  <dcterms:modified xsi:type="dcterms:W3CDTF">2018-07-27T13:26:00Z</dcterms:modified>
</cp:coreProperties>
</file>